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080"/>
        <w:jc w:val="center"/>
        <w:rPr>
          <w:b w:val="0"/>
          <w:sz w:val="36"/>
          <w:szCs w:val="36"/>
          <w:vertAlign w:val="baseline"/>
        </w:rPr>
      </w:pPr>
      <w:r w:rsidDel="00000000" w:rsidR="00000000" w:rsidRPr="00000000">
        <w:rPr>
          <w:rtl w:val="0"/>
        </w:rPr>
      </w:r>
    </w:p>
    <w:p w:rsidR="00000000" w:rsidDel="00000000" w:rsidP="00000000" w:rsidRDefault="00000000" w:rsidRPr="00000000" w14:paraId="00000002">
      <w:pPr>
        <w:ind w:left="-1080"/>
        <w:jc w:val="center"/>
        <w:rPr>
          <w:b w:val="0"/>
          <w:sz w:val="36"/>
          <w:szCs w:val="36"/>
          <w:vertAlign w:val="baseline"/>
        </w:rPr>
      </w:pPr>
      <w:r w:rsidDel="00000000" w:rsidR="00000000" w:rsidRPr="00000000">
        <w:rPr>
          <w:b w:val="1"/>
          <w:sz w:val="36"/>
          <w:szCs w:val="36"/>
          <w:vertAlign w:val="baseline"/>
          <w:rtl w:val="0"/>
        </w:rPr>
        <w:t xml:space="preserve">Arizona State Set-Aside</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rtl w:val="0"/>
        </w:rPr>
      </w:r>
    </w:p>
    <w:p w:rsidR="00000000" w:rsidDel="00000000" w:rsidP="00000000" w:rsidRDefault="00000000" w:rsidRPr="00000000" w14:paraId="00000004">
      <w:pPr>
        <w:ind w:left="-540"/>
        <w:rPr>
          <w:b w:val="0"/>
          <w:sz w:val="28"/>
          <w:szCs w:val="28"/>
          <w:vertAlign w:val="baseline"/>
        </w:rPr>
      </w:pPr>
      <w:r w:rsidDel="00000000" w:rsidR="00000000" w:rsidRPr="00000000">
        <w:rPr>
          <w:b w:val="1"/>
          <w:vertAlign w:val="baseline"/>
          <w:rtl w:val="0"/>
        </w:rPr>
        <w:t xml:space="preserve">                                           Certified Nonprofit Agency Proposal Form</w:t>
      </w:r>
      <w:r w:rsidDel="00000000" w:rsidR="00000000" w:rsidRPr="00000000">
        <w:rPr>
          <w:rtl w:val="0"/>
        </w:rPr>
      </w:r>
    </w:p>
    <w:p w:rsidR="00000000" w:rsidDel="00000000" w:rsidP="00000000" w:rsidRDefault="00000000" w:rsidRPr="00000000" w14:paraId="00000005">
      <w:pPr>
        <w:jc w:val="center"/>
        <w:rPr>
          <w:b w:val="0"/>
          <w:sz w:val="28"/>
          <w:szCs w:val="28"/>
          <w:vertAlign w:val="baseline"/>
        </w:rPr>
      </w:pPr>
      <w:r w:rsidDel="00000000" w:rsidR="00000000" w:rsidRPr="00000000">
        <w:rPr>
          <w:rtl w:val="0"/>
        </w:rPr>
      </w:r>
    </w:p>
    <w:p w:rsidR="00000000" w:rsidDel="00000000" w:rsidP="00000000" w:rsidRDefault="00000000" w:rsidRPr="00000000" w14:paraId="00000006">
      <w:pPr>
        <w:ind w:left="-540"/>
        <w:rPr>
          <w:sz w:val="20"/>
          <w:szCs w:val="20"/>
          <w:vertAlign w:val="baseline"/>
        </w:rPr>
      </w:pPr>
      <w:r w:rsidDel="00000000" w:rsidR="00000000" w:rsidRPr="00000000">
        <w:rPr>
          <w:sz w:val="20"/>
          <w:szCs w:val="20"/>
          <w:vertAlign w:val="baseline"/>
          <w:rtl w:val="0"/>
        </w:rPr>
        <w:t xml:space="preserve">Proposal Form is submitted following the feasibility review and completion of the development process. The Proposal Form is to be complete and submitted to the Arizona State Set-Aside Committee representative at least 45 days in advance of the quarterly State Set-Aside Meeting.</w:t>
      </w:r>
    </w:p>
    <w:p w:rsidR="00000000" w:rsidDel="00000000" w:rsidP="00000000" w:rsidRDefault="00000000" w:rsidRPr="00000000" w14:paraId="00000007">
      <w:pPr>
        <w:ind w:left="-540"/>
        <w:rPr>
          <w:sz w:val="20"/>
          <w:szCs w:val="20"/>
          <w:vertAlign w:val="baseline"/>
        </w:rPr>
      </w:pPr>
      <w:r w:rsidDel="00000000" w:rsidR="00000000" w:rsidRPr="00000000">
        <w:rPr>
          <w:rtl w:val="0"/>
        </w:rPr>
      </w:r>
    </w:p>
    <w:tbl>
      <w:tblPr>
        <w:tblStyle w:val="Table1"/>
        <w:tblW w:w="10136.0" w:type="dxa"/>
        <w:jc w:val="left"/>
        <w:tblInd w:w="-432.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296"/>
        <w:gridCol w:w="6840"/>
        <w:tblGridChange w:id="0">
          <w:tblGrid>
            <w:gridCol w:w="3296"/>
            <w:gridCol w:w="6840"/>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Request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tabs>
                <w:tab w:val="right" w:pos="8640"/>
              </w:tabs>
              <w:spacing w:before="120" w:lineRule="auto"/>
              <w:rPr>
                <w:sz w:val="20"/>
                <w:szCs w:val="20"/>
                <w:vertAlign w:val="baseline"/>
              </w:rPr>
            </w:pPr>
            <w:r w:rsidDel="00000000" w:rsidR="00000000" w:rsidRPr="00000000">
              <w:rPr>
                <w:sz w:val="20"/>
                <w:szCs w:val="20"/>
                <w:vertAlign w:val="baseline"/>
                <w:rtl w:val="0"/>
              </w:rPr>
              <w:t xml:space="preserve">9/18/2019</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Certified Nonprofit Agency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tabs>
                <w:tab w:val="right" w:pos="8640"/>
              </w:tabs>
              <w:spacing w:before="120" w:lineRule="auto"/>
              <w:rPr>
                <w:sz w:val="20"/>
                <w:szCs w:val="20"/>
                <w:vertAlign w:val="baseline"/>
              </w:rPr>
            </w:pPr>
            <w:r w:rsidDel="00000000" w:rsidR="00000000" w:rsidRPr="00000000">
              <w:rPr>
                <w:sz w:val="20"/>
                <w:szCs w:val="20"/>
                <w:vertAlign w:val="baseline"/>
                <w:rtl w:val="0"/>
              </w:rPr>
              <w:t xml:space="preserve">Beacon Group, Inc.</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Point of Contact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tabs>
                <w:tab w:val="right" w:pos="8640"/>
              </w:tabs>
              <w:spacing w:before="120" w:lineRule="auto"/>
              <w:rPr>
                <w:sz w:val="20"/>
                <w:szCs w:val="20"/>
                <w:vertAlign w:val="baseline"/>
              </w:rPr>
            </w:pPr>
            <w:r w:rsidDel="00000000" w:rsidR="00000000" w:rsidRPr="00000000">
              <w:rPr>
                <w:sz w:val="20"/>
                <w:szCs w:val="20"/>
                <w:vertAlign w:val="baseline"/>
                <w:rtl w:val="0"/>
              </w:rPr>
              <w:t xml:space="preserve">Natalya Brown</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Project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tabs>
                <w:tab w:val="right" w:pos="8640"/>
              </w:tabs>
              <w:spacing w:before="120" w:lineRule="auto"/>
              <w:rPr>
                <w:sz w:val="20"/>
                <w:szCs w:val="20"/>
                <w:vertAlign w:val="baseline"/>
              </w:rPr>
            </w:pPr>
            <w:r w:rsidDel="00000000" w:rsidR="00000000" w:rsidRPr="00000000">
              <w:rPr>
                <w:sz w:val="20"/>
                <w:szCs w:val="20"/>
                <w:vertAlign w:val="baseline"/>
                <w:rtl w:val="0"/>
              </w:rPr>
              <w:t xml:space="preserve">Document, Media, and Hard Drive Destruction Services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Product or Service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tabs>
                <w:tab w:val="right" w:pos="8640"/>
              </w:tabs>
              <w:spacing w:before="120" w:lineRule="auto"/>
              <w:rPr>
                <w:sz w:val="20"/>
                <w:szCs w:val="20"/>
                <w:vertAlign w:val="baseline"/>
              </w:rPr>
            </w:pPr>
            <w:r w:rsidDel="00000000" w:rsidR="00000000" w:rsidRPr="00000000">
              <w:rPr>
                <w:sz w:val="20"/>
                <w:szCs w:val="20"/>
                <w:vertAlign w:val="baseline"/>
                <w:rtl w:val="0"/>
              </w:rPr>
              <w:t xml:space="preserve">Document, Media, and Hard Drive Destruction Services </w:t>
            </w:r>
            <w:bookmarkStart w:colFirst="0" w:colLast="0" w:name="gjdgxs" w:id="0"/>
            <w:bookmarkEnd w:id="0"/>
            <w:r w:rsidDel="00000000" w:rsidR="00000000" w:rsidRPr="00000000">
              <w:rPr>
                <w:sz w:val="20"/>
                <w:szCs w:val="20"/>
                <w:vertAlign w:val="baseline"/>
                <w:rtl w:val="0"/>
              </w:rPr>
              <w:t xml:space="preserve">     </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tabs>
                <w:tab w:val="right" w:pos="8640"/>
              </w:tabs>
              <w:spacing w:before="120" w:lineRule="auto"/>
              <w:rPr>
                <w:sz w:val="20"/>
                <w:szCs w:val="20"/>
                <w:vertAlign w:val="baseline"/>
              </w:rPr>
            </w:pPr>
            <w:r w:rsidDel="00000000" w:rsidR="00000000" w:rsidRPr="00000000">
              <w:rPr>
                <w:sz w:val="20"/>
                <w:szCs w:val="20"/>
                <w:vertAlign w:val="baseline"/>
                <w:rtl w:val="0"/>
              </w:rPr>
              <w:t xml:space="preserve">Beacon Group, Inc. (dba Beacon Secure) will provide off-site records shredding and destruction services, including paper, media, and hard drive destruction.</w:t>
            </w:r>
          </w:p>
          <w:p w:rsidR="00000000" w:rsidDel="00000000" w:rsidP="00000000" w:rsidRDefault="00000000" w:rsidRPr="00000000" w14:paraId="00000014">
            <w:pPr>
              <w:tabs>
                <w:tab w:val="right" w:pos="8640"/>
              </w:tabs>
              <w:spacing w:before="120" w:lineRule="auto"/>
              <w:rPr>
                <w:sz w:val="20"/>
                <w:szCs w:val="20"/>
                <w:vertAlign w:val="baseline"/>
              </w:rPr>
            </w:pPr>
            <w:r w:rsidDel="00000000" w:rsidR="00000000" w:rsidRPr="00000000">
              <w:rPr>
                <w:sz w:val="20"/>
                <w:szCs w:val="20"/>
                <w:vertAlign w:val="baseline"/>
                <w:rtl w:val="0"/>
              </w:rPr>
              <w:t xml:space="preserve">People with disabilities will be assisting their job coach/driver with the pickup of the confidential materials from customers’ locations. They will also work in the warehouse by sorting and destroying the material.</w:t>
            </w:r>
          </w:p>
          <w:p w:rsidR="00000000" w:rsidDel="00000000" w:rsidP="00000000" w:rsidRDefault="00000000" w:rsidRPr="00000000" w14:paraId="00000015">
            <w:pPr>
              <w:tabs>
                <w:tab w:val="right" w:pos="8640"/>
              </w:tabs>
              <w:spacing w:before="120" w:lineRule="auto"/>
              <w:rPr>
                <w:sz w:val="20"/>
                <w:szCs w:val="20"/>
                <w:vertAlign w:val="baseline"/>
              </w:rPr>
            </w:pPr>
            <w:r w:rsidDel="00000000" w:rsidR="00000000" w:rsidRPr="00000000">
              <w:rPr>
                <w:sz w:val="20"/>
                <w:szCs w:val="20"/>
                <w:vertAlign w:val="baseline"/>
                <w:rtl w:val="0"/>
              </w:rPr>
              <w:t xml:space="preserve">Additional information is provided in the State Set-Aside Proposal attached to this document.</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Materials readily available: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Yes  </w:t>
            </w:r>
            <w:bookmarkStart w:colFirst="0" w:colLast="0" w:name="30j0zll" w:id="1"/>
            <w:bookmarkEnd w:id="1"/>
            <w:r w:rsidDel="00000000" w:rsidR="00000000" w:rsidRPr="00000000">
              <w:rPr>
                <w:b w:val="1"/>
                <w:sz w:val="20"/>
                <w:szCs w:val="20"/>
                <w:vertAlign w:val="baseline"/>
                <w:rtl w:val="0"/>
              </w:rPr>
              <w:t xml:space="preserve">☒   No  ☐ If No – Explain: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Capable of timely delivery: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Yes  ☒   No  ☐ If No – Explain: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Lead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tabs>
                <w:tab w:val="right" w:pos="8640"/>
              </w:tabs>
              <w:spacing w:before="120" w:lineRule="auto"/>
              <w:rPr>
                <w:sz w:val="20"/>
                <w:szCs w:val="20"/>
                <w:vertAlign w:val="baseline"/>
              </w:rPr>
            </w:pPr>
            <w:r w:rsidDel="00000000" w:rsidR="00000000" w:rsidRPr="00000000">
              <w:rPr>
                <w:sz w:val="20"/>
                <w:szCs w:val="20"/>
                <w:vertAlign w:val="baseline"/>
                <w:rtl w:val="0"/>
              </w:rPr>
              <w:t xml:space="preserve">When a customer requests service, the customer is normally scheduled for service within 1 week or less. This is a short turn-around time for services as compared to Beacon Group’s competitors.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Capable of meeting quality and price requirements: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Yes  ☒   No  ☐ If No – Explain: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Quality and Price Benchmarks: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tabs>
                <w:tab w:val="right" w:pos="8640"/>
              </w:tabs>
              <w:spacing w:before="120" w:lineRule="auto"/>
              <w:rPr>
                <w:sz w:val="20"/>
                <w:szCs w:val="20"/>
                <w:vertAlign w:val="baseline"/>
              </w:rPr>
            </w:pPr>
            <w:r w:rsidDel="00000000" w:rsidR="00000000" w:rsidRPr="00000000">
              <w:rPr>
                <w:sz w:val="20"/>
                <w:szCs w:val="20"/>
                <w:vertAlign w:val="baseline"/>
                <w:rtl w:val="0"/>
              </w:rPr>
              <w:t xml:space="preserve">Beacon Group utilizes industry-recognized secure containers and provide services according to the NAID AAA certification requirements, which Beacon Group holds.</w:t>
            </w:r>
          </w:p>
          <w:p w:rsidR="00000000" w:rsidDel="00000000" w:rsidP="00000000" w:rsidRDefault="00000000" w:rsidRPr="00000000" w14:paraId="00000020">
            <w:pPr>
              <w:tabs>
                <w:tab w:val="right" w:pos="8640"/>
              </w:tabs>
              <w:spacing w:before="120" w:lineRule="auto"/>
              <w:rPr>
                <w:sz w:val="20"/>
                <w:szCs w:val="20"/>
                <w:vertAlign w:val="baseline"/>
              </w:rPr>
            </w:pPr>
            <w:r w:rsidDel="00000000" w:rsidR="00000000" w:rsidRPr="00000000">
              <w:rPr>
                <w:sz w:val="20"/>
                <w:szCs w:val="20"/>
                <w:vertAlign w:val="baseline"/>
                <w:rtl w:val="0"/>
              </w:rPr>
              <w:t xml:space="preserve">Beacon Group conducted a survey of several of its competitors via anonymous calls to them and obtained pricing for a few scenarios of services to be provided. Price comparison is attached to this proposal. </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Type of Employment for Individuals with Disabilities: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Full-Time  ☒ Part-Time  </w:t>
            </w:r>
            <w:bookmarkStart w:colFirst="0" w:colLast="0" w:name="1fob9te" w:id="2"/>
            <w:bookmarkEnd w:id="2"/>
            <w:r w:rsidDel="00000000" w:rsidR="00000000" w:rsidRPr="00000000">
              <w:rPr>
                <w:b w:val="1"/>
                <w:sz w:val="20"/>
                <w:szCs w:val="20"/>
                <w:vertAlign w:val="baseline"/>
                <w:rtl w:val="0"/>
              </w:rPr>
              <w:t xml:space="preserve">☒ Temporary  ☐  Training  ☐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Product Cost or Service Cost Form attached: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Attached  ☒   Not Attached  ☐ If Not – Explain: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Product or service fair market price validation: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Attached  ☒   Not Attached  ☐ If Not – Explain: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tabs>
                <w:tab w:val="right" w:pos="8640"/>
              </w:tabs>
              <w:spacing w:before="120" w:lineRule="auto"/>
              <w:rPr>
                <w:i w:val="0"/>
                <w:sz w:val="20"/>
                <w:szCs w:val="20"/>
                <w:vertAlign w:val="baseline"/>
              </w:rPr>
            </w:pPr>
            <w:r w:rsidDel="00000000" w:rsidR="00000000" w:rsidRPr="00000000">
              <w:rPr>
                <w:b w:val="1"/>
                <w:sz w:val="20"/>
                <w:szCs w:val="20"/>
                <w:vertAlign w:val="baseline"/>
                <w:rtl w:val="0"/>
              </w:rPr>
              <w:t xml:space="preserve">Estimated Sales: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$_</w:t>
            </w:r>
            <w:r w:rsidDel="00000000" w:rsidR="00000000" w:rsidRPr="00000000">
              <w:rPr>
                <w:b w:val="1"/>
                <w:sz w:val="20"/>
                <w:szCs w:val="20"/>
                <w:u w:val="single"/>
                <w:vertAlign w:val="baseline"/>
                <w:rtl w:val="0"/>
              </w:rPr>
              <w:t xml:space="preserve">40,000-50,000__</w:t>
            </w:r>
            <w:r w:rsidDel="00000000" w:rsidR="00000000" w:rsidRPr="00000000">
              <w:rPr>
                <w:b w:val="1"/>
                <w:sz w:val="20"/>
                <w:szCs w:val="20"/>
                <w:vertAlign w:val="baseline"/>
                <w:rtl w:val="0"/>
              </w:rPr>
              <w:t xml:space="preserve"> to Governmental Units</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tabs>
                <w:tab w:val="right" w:pos="8640"/>
              </w:tabs>
              <w:spacing w:before="120" w:lineRule="auto"/>
              <w:rPr>
                <w:i w:val="0"/>
                <w:sz w:val="20"/>
                <w:szCs w:val="20"/>
                <w:vertAlign w:val="baseline"/>
              </w:rPr>
            </w:pPr>
            <w:r w:rsidDel="00000000" w:rsidR="00000000" w:rsidRPr="00000000">
              <w:rPr>
                <w:b w:val="1"/>
                <w:sz w:val="20"/>
                <w:szCs w:val="20"/>
                <w:vertAlign w:val="baseline"/>
                <w:rtl w:val="0"/>
              </w:rPr>
              <w:t xml:space="preserve">Brand Name Partner: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Yes  ☐   No  ☒ If Yes – Explain: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Yes  ☒   No  ☐ If Yes – Explain: </w:t>
            </w:r>
            <w:r w:rsidDel="00000000" w:rsidR="00000000" w:rsidRPr="00000000">
              <w:rPr>
                <w:sz w:val="20"/>
                <w:szCs w:val="20"/>
                <w:vertAlign w:val="baseline"/>
                <w:rtl w:val="0"/>
              </w:rPr>
              <w:t xml:space="preserve">Beacon Group currently holds a mandatory document destruction contract with the State of Arizona. Document destruction services are more economical when provided to many state agencies at once, which allows Beacon Group to provide these services at a much lower price than it charges non-state customers. Mandatory contract allows state agencies to easily contract with Beacon Group without the need to review several vendors to select the one they want to contract with.</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Customer (Existing)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tabs>
                <w:tab w:val="right" w:pos="8640"/>
              </w:tabs>
              <w:spacing w:before="120" w:lineRule="auto"/>
              <w:rPr>
                <w:sz w:val="20"/>
                <w:szCs w:val="20"/>
                <w:vertAlign w:val="baseline"/>
              </w:rPr>
            </w:pPr>
            <w:r w:rsidDel="00000000" w:rsidR="00000000" w:rsidRPr="00000000">
              <w:rPr>
                <w:sz w:val="20"/>
                <w:szCs w:val="20"/>
                <w:vertAlign w:val="baseline"/>
                <w:rtl w:val="0"/>
              </w:rPr>
              <w:t xml:space="preserve">Beacon Group has many state customers currently, including, but not limited to AHCCCS, DES, ADOT, DCS, RSA, AZ State Retirement System, and many other smaller agencies.</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Have You Contacted the Customer?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No  ☐   Yes  ☒  Contact: </w:t>
            </w:r>
            <w:r w:rsidDel="00000000" w:rsidR="00000000" w:rsidRPr="00000000">
              <w:rPr>
                <w:sz w:val="20"/>
                <w:szCs w:val="20"/>
                <w:vertAlign w:val="baseline"/>
                <w:rtl w:val="0"/>
              </w:rPr>
              <w:t xml:space="preserve">All the customers listed above are our current customers.     </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Customer (Proposed)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tabs>
                <w:tab w:val="left" w:pos="5205"/>
                <w:tab w:val="right" w:pos="8640"/>
              </w:tabs>
              <w:spacing w:before="120" w:lineRule="auto"/>
              <w:rPr>
                <w:sz w:val="20"/>
                <w:szCs w:val="20"/>
                <w:vertAlign w:val="baseline"/>
              </w:rPr>
            </w:pPr>
            <w:r w:rsidDel="00000000" w:rsidR="00000000" w:rsidRPr="00000000">
              <w:rPr>
                <w:sz w:val="20"/>
                <w:szCs w:val="20"/>
                <w:vertAlign w:val="baseline"/>
                <w:rtl w:val="0"/>
              </w:rPr>
              <w:t xml:space="preserve">If there are any state agencies that we are currently not servicing, they are currently welcome to contract with us. There are not any specific customers that we are aware of.</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Geographic Coverage: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Entire State of Arizona  ☐   Other  ☒   If Other - Explain: </w:t>
            </w:r>
            <w:r w:rsidDel="00000000" w:rsidR="00000000" w:rsidRPr="00000000">
              <w:rPr>
                <w:sz w:val="20"/>
                <w:szCs w:val="20"/>
                <w:vertAlign w:val="baseline"/>
                <w:rtl w:val="0"/>
              </w:rPr>
              <w:t xml:space="preserve">all of Southern Arizona (Arizona south of Casa Grande)     </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Funding Source: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Federal  ☐  State  ☒ Self-funded  ☒  Other  ☐  If Other - Explain: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Samples or Literature: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Attached  ☐   Not Attached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Other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tabs>
                <w:tab w:val="right" w:pos="8640"/>
              </w:tabs>
              <w:spacing w:before="120" w:lineRule="auto"/>
              <w:rPr>
                <w:sz w:val="20"/>
                <w:szCs w:val="20"/>
                <w:vertAlign w:val="baseline"/>
              </w:rPr>
            </w:pPr>
            <w:r w:rsidDel="00000000" w:rsidR="00000000" w:rsidRPr="00000000">
              <w:rPr>
                <w:sz w:val="20"/>
                <w:szCs w:val="20"/>
                <w:vertAlign w:val="baseline"/>
                <w:rtl w:val="0"/>
              </w:rPr>
              <w:t xml:space="preserve">Beacon Secure attached a State Set-Aside Proposal for Document, Media, and Hard Drive Destruction Services.</w:t>
            </w:r>
          </w:p>
        </w:tc>
      </w:tr>
      <w:t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3B">
            <w:pPr>
              <w:tabs>
                <w:tab w:val="right" w:pos="8640"/>
              </w:tabs>
              <w:spacing w:before="120" w:lineRule="auto"/>
              <w:rPr>
                <w:sz w:val="20"/>
                <w:szCs w:val="2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3C">
            <w:pPr>
              <w:tabs>
                <w:tab w:val="right" w:pos="8640"/>
              </w:tabs>
              <w:spacing w:before="120" w:lineRule="auto"/>
              <w:rPr>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c45911" w:val="clear"/>
            <w:vAlign w:val="top"/>
          </w:tcPr>
          <w:p w:rsidR="00000000" w:rsidDel="00000000" w:rsidP="00000000" w:rsidRDefault="00000000" w:rsidRPr="00000000" w14:paraId="0000003D">
            <w:pPr>
              <w:tabs>
                <w:tab w:val="right" w:pos="8640"/>
              </w:tabs>
              <w:spacing w:before="120" w:lineRule="auto"/>
              <w:jc w:val="center"/>
              <w:rPr>
                <w:b w:val="0"/>
                <w:vertAlign w:val="baseline"/>
              </w:rPr>
            </w:pPr>
            <w:r w:rsidDel="00000000" w:rsidR="00000000" w:rsidRPr="00000000">
              <w:rPr>
                <w:b w:val="1"/>
                <w:vertAlign w:val="baseline"/>
                <w:rtl w:val="0"/>
              </w:rPr>
              <w:t xml:space="preserve">ADOA Review: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45911" w:val="clear"/>
            <w:vAlign w:val="top"/>
          </w:tcPr>
          <w:p w:rsidR="00000000" w:rsidDel="00000000" w:rsidP="00000000" w:rsidRDefault="00000000" w:rsidRPr="00000000" w14:paraId="0000003E">
            <w:pPr>
              <w:tabs>
                <w:tab w:val="right" w:pos="8640"/>
              </w:tabs>
              <w:spacing w:before="120" w:lineRule="auto"/>
              <w:jc w:val="center"/>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Is there a need for the Product or Service: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Yes  </w:t>
            </w:r>
            <w:r w:rsidDel="00000000" w:rsidR="00000000" w:rsidRPr="00000000">
              <w:rPr>
                <w:b w:val="1"/>
                <w:sz w:val="20"/>
                <w:szCs w:val="20"/>
                <w:rtl w:val="0"/>
              </w:rPr>
              <w:t xml:space="preserve">x</w:t>
            </w:r>
            <w:r w:rsidDel="00000000" w:rsidR="00000000" w:rsidRPr="00000000">
              <w:rPr>
                <w:b w:val="1"/>
                <w:sz w:val="20"/>
                <w:szCs w:val="20"/>
                <w:vertAlign w:val="baseline"/>
                <w:rtl w:val="0"/>
              </w:rPr>
              <w:t xml:space="preserve">   No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Impact on current state contracts: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Yes  ☐   No  </w:t>
            </w:r>
            <w:r w:rsidDel="00000000" w:rsidR="00000000" w:rsidRPr="00000000">
              <w:rPr>
                <w:b w:val="1"/>
                <w:sz w:val="20"/>
                <w:szCs w:val="20"/>
                <w:rtl w:val="0"/>
              </w:rPr>
              <w:t xml:space="preserve">x</w:t>
            </w:r>
            <w:r w:rsidDel="00000000" w:rsidR="00000000" w:rsidRPr="00000000">
              <w:rPr>
                <w:b w:val="1"/>
                <w:sz w:val="20"/>
                <w:szCs w:val="20"/>
                <w:vertAlign w:val="baseline"/>
                <w:rtl w:val="0"/>
              </w:rPr>
              <w:t xml:space="preserve">   Explain:</w:t>
            </w:r>
            <w:r w:rsidDel="00000000" w:rsidR="00000000" w:rsidRPr="00000000">
              <w:rPr>
                <w:sz w:val="20"/>
                <w:szCs w:val="20"/>
                <w:vertAlign w:val="baseline"/>
                <w:rtl w:val="0"/>
              </w:rPr>
              <w:t xml:space="preserve">   Replaces existing contract set.  </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Agency capable of producing and delivering the product or service that will meet the reasonable requirements of state or local government: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tabs>
                <w:tab w:val="right" w:pos="8640"/>
              </w:tabs>
              <w:spacing w:before="120" w:lineRule="auto"/>
              <w:rPr>
                <w:b w:val="0"/>
                <w:sz w:val="20"/>
                <w:szCs w:val="20"/>
                <w:vertAlign w:val="baseline"/>
              </w:rPr>
            </w:pPr>
            <w:r w:rsidDel="00000000" w:rsidR="00000000" w:rsidRPr="00000000">
              <w:rPr>
                <w:rtl w:val="0"/>
              </w:rPr>
            </w:r>
          </w:p>
          <w:p w:rsidR="00000000" w:rsidDel="00000000" w:rsidP="00000000" w:rsidRDefault="00000000" w:rsidRPr="00000000" w14:paraId="00000045">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Yes  </w:t>
            </w:r>
            <w:r w:rsidDel="00000000" w:rsidR="00000000" w:rsidRPr="00000000">
              <w:rPr>
                <w:b w:val="1"/>
                <w:sz w:val="20"/>
                <w:szCs w:val="20"/>
                <w:rtl w:val="0"/>
              </w:rPr>
              <w:t xml:space="preserve">x</w:t>
            </w:r>
            <w:r w:rsidDel="00000000" w:rsidR="00000000" w:rsidRPr="00000000">
              <w:rPr>
                <w:b w:val="1"/>
                <w:sz w:val="20"/>
                <w:szCs w:val="20"/>
                <w:vertAlign w:val="baseline"/>
                <w:rtl w:val="0"/>
              </w:rPr>
              <w:t xml:space="preserve">   No  ☐   Explain:</w:t>
            </w:r>
            <w:r w:rsidDel="00000000" w:rsidR="00000000" w:rsidRPr="00000000">
              <w:rPr>
                <w:sz w:val="20"/>
                <w:szCs w:val="20"/>
                <w:vertAlign w:val="baseline"/>
                <w:rtl w:val="0"/>
              </w:rPr>
              <w:t xml:space="preserve">   </w:t>
            </w:r>
            <w:r w:rsidDel="00000000" w:rsidR="00000000" w:rsidRPr="00000000">
              <w:rPr>
                <w:sz w:val="20"/>
                <w:szCs w:val="20"/>
                <w:rtl w:val="0"/>
              </w:rPr>
              <w:t xml:space="preserve">Demonstrated ability on expiring contract set.</w:t>
            </w:r>
            <w:r w:rsidDel="00000000" w:rsidR="00000000" w:rsidRPr="00000000">
              <w:rPr>
                <w:sz w:val="20"/>
                <w:szCs w:val="20"/>
                <w:vertAlign w:val="baseline"/>
                <w:rtl w:val="0"/>
              </w:rPr>
              <w:t xml:space="preserve">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Yes  </w:t>
            </w:r>
            <w:r w:rsidDel="00000000" w:rsidR="00000000" w:rsidRPr="00000000">
              <w:rPr>
                <w:b w:val="1"/>
                <w:sz w:val="20"/>
                <w:szCs w:val="20"/>
                <w:rtl w:val="0"/>
              </w:rPr>
              <w:t xml:space="preserve">x</w:t>
            </w:r>
            <w:r w:rsidDel="00000000" w:rsidR="00000000" w:rsidRPr="00000000">
              <w:rPr>
                <w:b w:val="1"/>
                <w:sz w:val="20"/>
                <w:szCs w:val="20"/>
                <w:vertAlign w:val="baseline"/>
                <w:rtl w:val="0"/>
              </w:rPr>
              <w:t xml:space="preserve">   No  ☐   Explain:</w:t>
            </w:r>
            <w:r w:rsidDel="00000000" w:rsidR="00000000" w:rsidRPr="00000000">
              <w:rPr>
                <w:sz w:val="20"/>
                <w:szCs w:val="20"/>
                <w:vertAlign w:val="baseline"/>
                <w:rtl w:val="0"/>
              </w:rPr>
              <w:t xml:space="preserve">   See competit</w:t>
            </w:r>
            <w:r w:rsidDel="00000000" w:rsidR="00000000" w:rsidRPr="00000000">
              <w:rPr>
                <w:sz w:val="20"/>
                <w:szCs w:val="20"/>
                <w:rtl w:val="0"/>
              </w:rPr>
              <w:t xml:space="preserve">ive analysis</w:t>
            </w:r>
            <w:r w:rsidDel="00000000" w:rsidR="00000000" w:rsidRPr="00000000">
              <w:rPr>
                <w:sz w:val="20"/>
                <w:szCs w:val="20"/>
                <w:vertAlign w:val="baseline"/>
                <w:rtl w:val="0"/>
              </w:rPr>
              <w:t xml:space="preserve">  </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tabs>
                <w:tab w:val="right" w:pos="8640"/>
              </w:tabs>
              <w:spacing w:before="120" w:lineRule="auto"/>
              <w:rPr>
                <w:b w:val="0"/>
                <w:sz w:val="20"/>
                <w:szCs w:val="20"/>
                <w:vertAlign w:val="baseline"/>
              </w:rPr>
            </w:pPr>
            <w:r w:rsidDel="00000000" w:rsidR="00000000" w:rsidRPr="00000000">
              <w:rPr>
                <w:b w:val="1"/>
                <w:sz w:val="20"/>
                <w:szCs w:val="20"/>
                <w:vertAlign w:val="baseline"/>
                <w:rtl w:val="0"/>
              </w:rPr>
              <w:t xml:space="preserve">Recommend for Approval</w:t>
            </w:r>
            <w:r w:rsidDel="00000000" w:rsidR="00000000" w:rsidRPr="00000000">
              <w:rPr>
                <w:sz w:val="20"/>
                <w:szCs w:val="2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tabs>
                <w:tab w:val="right" w:pos="8640"/>
              </w:tabs>
              <w:spacing w:before="120" w:lineRule="auto"/>
              <w:rPr>
                <w:sz w:val="20"/>
                <w:szCs w:val="20"/>
                <w:vertAlign w:val="baseline"/>
              </w:rPr>
            </w:pPr>
            <w:r w:rsidDel="00000000" w:rsidR="00000000" w:rsidRPr="00000000">
              <w:rPr>
                <w:b w:val="1"/>
                <w:sz w:val="20"/>
                <w:szCs w:val="20"/>
                <w:vertAlign w:val="baseline"/>
                <w:rtl w:val="0"/>
              </w:rPr>
              <w:t xml:space="preserve">Yes  </w:t>
            </w:r>
            <w:r w:rsidDel="00000000" w:rsidR="00000000" w:rsidRPr="00000000">
              <w:rPr>
                <w:b w:val="1"/>
                <w:sz w:val="20"/>
                <w:szCs w:val="20"/>
                <w:rtl w:val="0"/>
              </w:rPr>
              <w:t xml:space="preserve">x</w:t>
            </w:r>
            <w:r w:rsidDel="00000000" w:rsidR="00000000" w:rsidRPr="00000000">
              <w:rPr>
                <w:b w:val="1"/>
                <w:sz w:val="20"/>
                <w:szCs w:val="20"/>
                <w:vertAlign w:val="baseline"/>
                <w:rtl w:val="0"/>
              </w:rPr>
              <w:t xml:space="preserve">   No  ☐   Explain:</w:t>
            </w:r>
            <w:r w:rsidDel="00000000" w:rsidR="00000000" w:rsidRPr="00000000">
              <w:rPr>
                <w:sz w:val="20"/>
                <w:szCs w:val="20"/>
                <w:vertAlign w:val="baseline"/>
                <w:rtl w:val="0"/>
              </w:rPr>
              <w:t xml:space="preserve">   No material changes from existing contract set.  </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tabs>
                <w:tab w:val="right" w:pos="8640"/>
              </w:tabs>
              <w:rPr>
                <w:b w:val="0"/>
                <w:sz w:val="20"/>
                <w:szCs w:val="20"/>
                <w:vertAlign w:val="baseline"/>
              </w:rPr>
            </w:pPr>
            <w:r w:rsidDel="00000000" w:rsidR="00000000" w:rsidRPr="00000000">
              <w:rPr>
                <w:b w:val="1"/>
                <w:sz w:val="20"/>
                <w:szCs w:val="20"/>
                <w:vertAlign w:val="baseline"/>
                <w:rtl w:val="0"/>
              </w:rPr>
              <w:t xml:space="preserve">Submit completed form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jc w:val="center"/>
              <w:rPr>
                <w:sz w:val="20"/>
                <w:szCs w:val="20"/>
                <w:vertAlign w:val="baseline"/>
              </w:rPr>
            </w:pPr>
            <w:r w:rsidDel="00000000" w:rsidR="00000000" w:rsidRPr="00000000">
              <w:rPr>
                <w:sz w:val="20"/>
                <w:szCs w:val="20"/>
                <w:vertAlign w:val="baseline"/>
                <w:rtl w:val="0"/>
              </w:rPr>
              <w:t xml:space="preserve">Please visit the Arizona Set Aside Website to determine where your completed / signed document should be sent. </w:t>
            </w:r>
          </w:p>
          <w:p w:rsidR="00000000" w:rsidDel="00000000" w:rsidP="00000000" w:rsidRDefault="00000000" w:rsidRPr="00000000" w14:paraId="0000004C">
            <w:pPr>
              <w:tabs>
                <w:tab w:val="left" w:pos="5205"/>
              </w:tabs>
              <w:jc w:val="center"/>
              <w:rPr>
                <w:sz w:val="20"/>
                <w:szCs w:val="20"/>
                <w:vertAlign w:val="baseline"/>
              </w:rPr>
            </w:pPr>
            <w:hyperlink r:id="rId6">
              <w:r w:rsidDel="00000000" w:rsidR="00000000" w:rsidRPr="00000000">
                <w:rPr>
                  <w:color w:val="0000ff"/>
                  <w:sz w:val="20"/>
                  <w:szCs w:val="20"/>
                  <w:u w:val="single"/>
                  <w:vertAlign w:val="baseline"/>
                  <w:rtl w:val="0"/>
                </w:rPr>
                <w:t xml:space="preserve">https://spo.az.gov/procurement-services/set-aside</w:t>
              </w:r>
            </w:hyperlink>
            <w:r w:rsidDel="00000000" w:rsidR="00000000" w:rsidRPr="00000000">
              <w:rPr>
                <w:rtl w:val="0"/>
              </w:rPr>
            </w:r>
          </w:p>
        </w:tc>
      </w:tr>
    </w:tbl>
    <w:p w:rsidR="00000000" w:rsidDel="00000000" w:rsidP="00000000" w:rsidRDefault="00000000" w:rsidRPr="00000000" w14:paraId="0000004D">
      <w:pPr>
        <w:rPr>
          <w:sz w:val="20"/>
          <w:szCs w:val="20"/>
          <w:vertAlign w:val="baseline"/>
        </w:rPr>
      </w:pPr>
      <w:r w:rsidDel="00000000" w:rsidR="00000000" w:rsidRPr="00000000">
        <w:rPr>
          <w:rtl w:val="0"/>
        </w:rPr>
      </w:r>
    </w:p>
    <w:sectPr>
      <w:headerReference r:id="rId7" w:type="default"/>
      <w:footerReference r:id="rId8" w:type="default"/>
      <w:pgSz w:h="15840" w:w="12240"/>
      <w:pgMar w:bottom="1440" w:top="1440" w:left="18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color="622423" w:space="1" w:sz="24" w:val="single"/>
        <w:left w:space="0" w:sz="0" w:val="nil"/>
        <w:bottom w:space="0" w:sz="0" w:val="nil"/>
        <w:right w:space="0" w:sz="0" w:val="nil"/>
        <w:between w:space="0" w:sz="0" w:val="nil"/>
      </w:pBdr>
      <w:shd w:fill="auto" w:val="clear"/>
      <w:tabs>
        <w:tab w:val="right" w:pos="972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Arizona State Set-Aside Committee</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736850" cy="589280"/>
          <wp:effectExtent b="0" l="0" r="0" t="0"/>
          <wp:docPr descr="C:\Users\174926\AppData\Local\Microsoft\Windows\INetCache\Content.Word\ADOA-black.png" id="1" name="image1.png"/>
          <a:graphic>
            <a:graphicData uri="http://schemas.openxmlformats.org/drawingml/2006/picture">
              <pic:pic>
                <pic:nvPicPr>
                  <pic:cNvPr descr="C:\Users\174926\AppData\Local\Microsoft\Windows\INetCache\Content.Word\ADOA-black.png" id="0" name="image1.png"/>
                  <pic:cNvPicPr preferRelativeResize="0"/>
                </pic:nvPicPr>
                <pic:blipFill>
                  <a:blip r:embed="rId1"/>
                  <a:srcRect b="0" l="0" r="0" t="0"/>
                  <a:stretch>
                    <a:fillRect/>
                  </a:stretch>
                </pic:blipFill>
                <pic:spPr>
                  <a:xfrm>
                    <a:off x="0" y="0"/>
                    <a:ext cx="2736850" cy="5892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po.az.gov/procurement-services/set-aside"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